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C8E8D" w14:textId="182F5A21" w:rsidR="00D3168D" w:rsidRDefault="00000000" w:rsidP="002472C5">
      <w:pPr>
        <w:spacing w:after="0" w:line="385" w:lineRule="auto"/>
        <w:ind w:left="-15" w:right="0" w:firstLine="187"/>
        <w:jc w:val="center"/>
      </w:pPr>
      <w:r>
        <w:rPr>
          <w:b/>
        </w:rPr>
        <w:t xml:space="preserve">Wymogi merytoryczne i metodologiczne prac magisterskich na kierunku Pedagogika </w:t>
      </w:r>
      <w:r w:rsidR="002472C5">
        <w:rPr>
          <w:b/>
        </w:rPr>
        <w:t>przedszkolna i wczesnoszkolna</w:t>
      </w:r>
      <w:r>
        <w:rPr>
          <w:b/>
        </w:rPr>
        <w:t xml:space="preserve">  obowiązujące dla seminariów rozpoczynających się od roku akademickiego </w:t>
      </w:r>
      <w:r w:rsidR="002472C5">
        <w:rPr>
          <w:b/>
        </w:rPr>
        <w:t>2022/2023</w:t>
      </w:r>
    </w:p>
    <w:p w14:paraId="6A958D9D" w14:textId="77777777" w:rsidR="00D3168D" w:rsidRDefault="00000000">
      <w:pPr>
        <w:spacing w:after="160" w:line="259" w:lineRule="auto"/>
        <w:ind w:left="0" w:right="0" w:firstLine="0"/>
        <w:jc w:val="left"/>
      </w:pPr>
      <w:r>
        <w:t xml:space="preserve"> </w:t>
      </w:r>
    </w:p>
    <w:p w14:paraId="0666AA70" w14:textId="77777777" w:rsidR="00D3168D" w:rsidRDefault="00000000">
      <w:pPr>
        <w:spacing w:after="18" w:line="357" w:lineRule="auto"/>
        <w:ind w:left="-15" w:right="0" w:firstLine="708"/>
      </w:pPr>
      <w:r>
        <w:t xml:space="preserve">Przygotowanie pracy magisterskiej stanowi złożone zadanie, przy realizacji którego muszą być respektowane podstawowe zasady i kryteria poprawności: organizacyjnej, metodologicznej, merytorycznej i formalnej.  </w:t>
      </w:r>
    </w:p>
    <w:p w14:paraId="2BA53B78" w14:textId="1010AF82" w:rsidR="00D3168D" w:rsidRDefault="00000000">
      <w:pPr>
        <w:spacing w:after="10" w:line="386" w:lineRule="auto"/>
        <w:ind w:left="-15" w:right="0" w:firstLine="708"/>
      </w:pPr>
      <w:r>
        <w:t xml:space="preserve">Prace magisterskie przygotowywane w Katedrze Pedagogiki </w:t>
      </w:r>
      <w:r w:rsidR="002472C5">
        <w:t>PANS</w:t>
      </w:r>
      <w:r>
        <w:t xml:space="preserve"> w Chełmie</w:t>
      </w:r>
      <w:r w:rsidR="002472C5">
        <w:t xml:space="preserve"> na kierunku Pedagogika przedszkolna i wczesnoszkolna</w:t>
      </w:r>
      <w:r>
        <w:t xml:space="preserve"> powinny mieć charakter teoretyczno – empiryczny. W wyjątkowych przypadkach promotor może podjąć decyzję o podjęciu przez seminarzystę pisania pracy teoretycznej.  </w:t>
      </w:r>
    </w:p>
    <w:p w14:paraId="7CE72795" w14:textId="0C2A3D52" w:rsidR="00D3168D" w:rsidRDefault="00000000">
      <w:pPr>
        <w:spacing w:after="10" w:line="378" w:lineRule="auto"/>
        <w:ind w:left="-15" w:right="0" w:firstLine="708"/>
      </w:pPr>
      <w:r>
        <w:t xml:space="preserve">Temat pracy musi mieścić się w obszarze przedmiotu badawczego pedagogiki </w:t>
      </w:r>
      <w:r w:rsidR="00E71CEC">
        <w:t xml:space="preserve">przedszkolnej </w:t>
      </w:r>
      <w:r>
        <w:t>i</w:t>
      </w:r>
      <w:r w:rsidR="00E71CEC">
        <w:t xml:space="preserve">/lub pedagogiki wczesnoszkolnej. </w:t>
      </w:r>
      <w:r>
        <w:t xml:space="preserve">Tematyka powinna być zgodna z potrzebami społecznymi i aktualnością podjętego tematu. </w:t>
      </w:r>
    </w:p>
    <w:p w14:paraId="4AE679C9" w14:textId="79F31EB3" w:rsidR="00D3168D" w:rsidRDefault="00000000">
      <w:pPr>
        <w:spacing w:after="17" w:line="375" w:lineRule="auto"/>
        <w:ind w:left="-5" w:right="0"/>
      </w:pPr>
      <w:r>
        <w:t xml:space="preserve">Opracowanie tematu opiera się na gruntownej analizie </w:t>
      </w:r>
      <w:r w:rsidR="00E71CEC">
        <w:t xml:space="preserve">klasycznej i </w:t>
      </w:r>
      <w:r>
        <w:t>aktualnej literatury, uwzględniając szerszy kontekst społeczno – kulturowy zagadnienia. Badania empiryczne powinny mieć charakter weryfikacyjny</w:t>
      </w:r>
      <w:r w:rsidR="00E71CEC">
        <w:t xml:space="preserve"> lub</w:t>
      </w:r>
      <w:r>
        <w:t xml:space="preserve"> diagnostyczn</w:t>
      </w:r>
      <w:r w:rsidR="00E71CEC">
        <w:t>y</w:t>
      </w:r>
      <w:r>
        <w:t xml:space="preserve">. </w:t>
      </w:r>
      <w:r w:rsidR="002F6192">
        <w:t xml:space="preserve">Możliwy jest typ badań ilościowych, jakościowych lub mieszanych. </w:t>
      </w:r>
    </w:p>
    <w:p w14:paraId="06DAFB33" w14:textId="77777777" w:rsidR="00D3168D" w:rsidRDefault="00000000">
      <w:pPr>
        <w:spacing w:after="36" w:line="356" w:lineRule="auto"/>
        <w:ind w:left="-15" w:right="0" w:firstLine="708"/>
      </w:pPr>
      <w:r>
        <w:t xml:space="preserve">Praca teoretyczno – empiryczna składa się z dwóch części: teoretycznej (rozdziały teoretyczne) i empirycznej (rozdział metodologiczny i rozdział prezentujący wyniki badań). </w:t>
      </w:r>
    </w:p>
    <w:p w14:paraId="19E38B94" w14:textId="77777777" w:rsidR="00D3168D" w:rsidRDefault="00000000">
      <w:pPr>
        <w:ind w:left="-5" w:right="0"/>
      </w:pPr>
      <w:r>
        <w:t xml:space="preserve">Podział pracy na te części powinien być proporcjonalny. </w:t>
      </w:r>
    </w:p>
    <w:p w14:paraId="496E5B25" w14:textId="77777777" w:rsidR="00D3168D" w:rsidRDefault="00000000">
      <w:pPr>
        <w:spacing w:after="115" w:line="259" w:lineRule="auto"/>
        <w:ind w:left="0" w:right="0" w:firstLine="0"/>
        <w:jc w:val="left"/>
      </w:pPr>
      <w:r>
        <w:t xml:space="preserve"> </w:t>
      </w:r>
    </w:p>
    <w:p w14:paraId="29AB84FE" w14:textId="77777777" w:rsidR="00D3168D" w:rsidRDefault="00000000">
      <w:pPr>
        <w:spacing w:after="112" w:line="259" w:lineRule="auto"/>
        <w:ind w:left="59" w:right="0" w:firstLine="0"/>
        <w:jc w:val="center"/>
      </w:pPr>
      <w:r>
        <w:t xml:space="preserve"> </w:t>
      </w:r>
    </w:p>
    <w:p w14:paraId="3419C2FD" w14:textId="77777777" w:rsidR="00D3168D" w:rsidRDefault="00000000">
      <w:pPr>
        <w:pStyle w:val="Nagwek1"/>
      </w:pPr>
      <w:r>
        <w:t>STRUKTURA PRACY</w:t>
      </w:r>
      <w:r>
        <w:rPr>
          <w:u w:val="none"/>
        </w:rPr>
        <w:t xml:space="preserve"> </w:t>
      </w:r>
    </w:p>
    <w:p w14:paraId="5B5A3F06" w14:textId="77777777" w:rsidR="00D3168D" w:rsidRDefault="00000000">
      <w:pPr>
        <w:spacing w:after="157" w:line="259" w:lineRule="auto"/>
        <w:ind w:left="0" w:right="0" w:firstLine="0"/>
        <w:jc w:val="left"/>
      </w:pPr>
      <w:r>
        <w:t xml:space="preserve"> </w:t>
      </w:r>
    </w:p>
    <w:p w14:paraId="30309E39" w14:textId="77777777" w:rsidR="00D3168D" w:rsidRDefault="00000000">
      <w:pPr>
        <w:spacing w:after="169"/>
        <w:ind w:left="-5" w:right="0"/>
      </w:pPr>
      <w:r>
        <w:t xml:space="preserve">Spis treści </w:t>
      </w:r>
    </w:p>
    <w:p w14:paraId="5432D0C4" w14:textId="77777777" w:rsidR="00D3168D" w:rsidRDefault="00000000">
      <w:pPr>
        <w:spacing w:after="151"/>
        <w:ind w:left="-5" w:right="0"/>
      </w:pPr>
      <w:r>
        <w:t xml:space="preserve">Wstęp </w:t>
      </w:r>
    </w:p>
    <w:p w14:paraId="3C7FC3CC" w14:textId="77777777" w:rsidR="00D3168D" w:rsidRDefault="00000000">
      <w:pPr>
        <w:ind w:left="-5" w:right="0"/>
      </w:pPr>
      <w:r>
        <w:rPr>
          <w:b/>
        </w:rPr>
        <w:t>Rozdział 1</w:t>
      </w:r>
      <w:r>
        <w:t xml:space="preserve">  (teoretyczny) ...... tytuł </w:t>
      </w:r>
    </w:p>
    <w:p w14:paraId="0C8745B9" w14:textId="77777777" w:rsidR="00D3168D" w:rsidRDefault="00000000">
      <w:pPr>
        <w:ind w:left="-5" w:right="0"/>
      </w:pPr>
      <w:r>
        <w:t xml:space="preserve">1.1 </w:t>
      </w:r>
    </w:p>
    <w:p w14:paraId="3C8A912A" w14:textId="77777777" w:rsidR="00D3168D" w:rsidRDefault="00000000">
      <w:pPr>
        <w:ind w:left="-5" w:right="0"/>
      </w:pPr>
      <w:r>
        <w:t xml:space="preserve">1.2 </w:t>
      </w:r>
    </w:p>
    <w:p w14:paraId="2AEFD29F" w14:textId="77777777" w:rsidR="00D3168D" w:rsidRDefault="00000000">
      <w:pPr>
        <w:spacing w:after="170"/>
        <w:ind w:left="-5" w:right="0"/>
      </w:pPr>
      <w:r>
        <w:t xml:space="preserve">1.3 ......   </w:t>
      </w:r>
    </w:p>
    <w:p w14:paraId="4D6FF9D9" w14:textId="77777777" w:rsidR="00D3168D" w:rsidRDefault="00000000">
      <w:pPr>
        <w:spacing w:after="165"/>
        <w:ind w:left="-5" w:right="0"/>
      </w:pPr>
      <w:r>
        <w:t xml:space="preserve"> liczba podrozdziałów wyczerpująca podjętą tematykę </w:t>
      </w:r>
    </w:p>
    <w:p w14:paraId="5BD0DCBC" w14:textId="77777777" w:rsidR="00D3168D" w:rsidRDefault="00000000">
      <w:pPr>
        <w:spacing w:after="0" w:line="396" w:lineRule="auto"/>
        <w:ind w:left="-5" w:right="0"/>
      </w:pPr>
      <w:r>
        <w:rPr>
          <w:b/>
        </w:rPr>
        <w:lastRenderedPageBreak/>
        <w:t>Rozdział 2 (teoretyczny</w:t>
      </w:r>
      <w:r>
        <w:t xml:space="preserve"> - jeśli istnieje taka potrzeba , a jest tak zazwyczaj, gdy temat pracy jest bardziej złożony)</w:t>
      </w:r>
      <w:r>
        <w:rPr>
          <w:color w:val="FF0000"/>
        </w:rPr>
        <w:t xml:space="preserve"> </w:t>
      </w:r>
      <w:r>
        <w:t xml:space="preserve">...... tytuł </w:t>
      </w:r>
    </w:p>
    <w:p w14:paraId="76B10F81" w14:textId="77777777" w:rsidR="00D3168D" w:rsidRDefault="00000000">
      <w:pPr>
        <w:ind w:left="-5" w:right="0"/>
      </w:pPr>
      <w:r>
        <w:t xml:space="preserve">2.1 </w:t>
      </w:r>
    </w:p>
    <w:p w14:paraId="01ACC7B2" w14:textId="77777777" w:rsidR="00D3168D" w:rsidRDefault="00000000">
      <w:pPr>
        <w:ind w:left="-5" w:right="0"/>
      </w:pPr>
      <w:r>
        <w:t xml:space="preserve">2.2 </w:t>
      </w:r>
    </w:p>
    <w:p w14:paraId="5C75A6A5" w14:textId="77777777" w:rsidR="00D3168D" w:rsidRDefault="00000000">
      <w:pPr>
        <w:ind w:left="-5" w:right="0"/>
      </w:pPr>
      <w:r>
        <w:t xml:space="preserve">2.3... </w:t>
      </w:r>
    </w:p>
    <w:p w14:paraId="2886DD83" w14:textId="77777777" w:rsidR="00D3168D" w:rsidRDefault="00000000">
      <w:pPr>
        <w:ind w:left="-5" w:right="0"/>
      </w:pPr>
      <w:r>
        <w:t xml:space="preserve">liczba podrozdziałów wyczerpująca podjętą tematykę </w:t>
      </w:r>
    </w:p>
    <w:p w14:paraId="58ECC5B4" w14:textId="77777777" w:rsidR="00D3168D" w:rsidRDefault="00000000">
      <w:pPr>
        <w:spacing w:after="168" w:line="259" w:lineRule="auto"/>
        <w:ind w:left="0" w:right="0" w:firstLine="0"/>
        <w:jc w:val="left"/>
      </w:pPr>
      <w:r>
        <w:t xml:space="preserve"> </w:t>
      </w:r>
    </w:p>
    <w:p w14:paraId="0E695F70" w14:textId="77777777" w:rsidR="00D3168D" w:rsidRDefault="00000000">
      <w:pPr>
        <w:spacing w:after="148" w:line="268" w:lineRule="auto"/>
        <w:ind w:left="-5" w:right="0"/>
        <w:jc w:val="left"/>
      </w:pPr>
      <w:r>
        <w:rPr>
          <w:b/>
        </w:rPr>
        <w:t>Rozdział 3.</w:t>
      </w:r>
      <w:r>
        <w:t xml:space="preserve"> </w:t>
      </w:r>
      <w:r>
        <w:rPr>
          <w:b/>
        </w:rPr>
        <w:t>Podstawy metodologiczne własnych badań empirycznych</w:t>
      </w:r>
      <w:r>
        <w:t xml:space="preserve"> </w:t>
      </w:r>
    </w:p>
    <w:p w14:paraId="7B7F0561" w14:textId="13CF490F" w:rsidR="00D3168D" w:rsidRDefault="00000000">
      <w:pPr>
        <w:spacing w:after="153"/>
        <w:ind w:left="-5" w:right="0"/>
      </w:pPr>
      <w:r>
        <w:t xml:space="preserve">3.1  Cel, przedmiot badań, problemy badawcze i hipotezy </w:t>
      </w:r>
      <w:r w:rsidR="00E71CEC">
        <w:t>(jeśli zasadne jest ich postawienie)</w:t>
      </w:r>
    </w:p>
    <w:p w14:paraId="52FE5532" w14:textId="77777777" w:rsidR="00D3168D" w:rsidRDefault="00000000">
      <w:pPr>
        <w:ind w:left="-5" w:right="0"/>
      </w:pPr>
      <w:r>
        <w:t xml:space="preserve">3.2. Metoda, techniki i narzędzia badawcze ( lub Opis zastosowanej metody)  </w:t>
      </w:r>
    </w:p>
    <w:p w14:paraId="02173BDB" w14:textId="77777777" w:rsidR="00D3168D" w:rsidRDefault="00000000">
      <w:pPr>
        <w:spacing w:after="170"/>
        <w:ind w:left="-5" w:right="0"/>
      </w:pPr>
      <w:r>
        <w:t xml:space="preserve">3.4  Charakterystyka terenu badań i badanej próby  </w:t>
      </w:r>
    </w:p>
    <w:p w14:paraId="505FE81F" w14:textId="77777777" w:rsidR="00D3168D" w:rsidRDefault="00000000">
      <w:pPr>
        <w:spacing w:after="173"/>
        <w:ind w:left="-5" w:right="0"/>
      </w:pPr>
      <w:r>
        <w:t xml:space="preserve">3.5 Organizacja i przebieg badań. </w:t>
      </w:r>
    </w:p>
    <w:p w14:paraId="0A58C383" w14:textId="77777777" w:rsidR="00D3168D" w:rsidRDefault="00000000">
      <w:pPr>
        <w:ind w:left="-5" w:right="0"/>
      </w:pPr>
      <w:r>
        <w:rPr>
          <w:b/>
        </w:rPr>
        <w:t xml:space="preserve">Rozdział 4. </w:t>
      </w:r>
      <w:r>
        <w:t>(rozdział empiryczny, w którym prezentuje się wyniki badań)... tytuł</w:t>
      </w:r>
      <w:r>
        <w:rPr>
          <w:color w:val="FF0000"/>
        </w:rPr>
        <w:t xml:space="preserve"> </w:t>
      </w:r>
    </w:p>
    <w:p w14:paraId="0A511F55" w14:textId="77777777" w:rsidR="00D3168D" w:rsidRDefault="00000000">
      <w:pPr>
        <w:ind w:left="-5" w:right="0"/>
      </w:pPr>
      <w:r>
        <w:t xml:space="preserve">4.1 </w:t>
      </w:r>
    </w:p>
    <w:p w14:paraId="652BAFD5" w14:textId="77777777" w:rsidR="00D3168D" w:rsidRDefault="00000000">
      <w:pPr>
        <w:ind w:left="-5" w:right="0"/>
      </w:pPr>
      <w:r>
        <w:t xml:space="preserve">4.2 </w:t>
      </w:r>
    </w:p>
    <w:p w14:paraId="580561CF" w14:textId="77777777" w:rsidR="00D3168D" w:rsidRDefault="00000000">
      <w:pPr>
        <w:ind w:left="-5" w:right="0"/>
      </w:pPr>
      <w:r>
        <w:t xml:space="preserve">4.3 </w:t>
      </w:r>
    </w:p>
    <w:p w14:paraId="61861D76" w14:textId="77777777" w:rsidR="00D3168D" w:rsidRDefault="00000000">
      <w:pPr>
        <w:ind w:left="-5" w:right="0"/>
      </w:pPr>
      <w:r>
        <w:t xml:space="preserve">4.4 </w:t>
      </w:r>
    </w:p>
    <w:p w14:paraId="71251AD8" w14:textId="77777777" w:rsidR="00D3168D" w:rsidRDefault="00000000">
      <w:pPr>
        <w:spacing w:after="115" w:line="259" w:lineRule="auto"/>
        <w:ind w:left="0" w:right="0" w:firstLine="0"/>
        <w:jc w:val="left"/>
      </w:pPr>
      <w:r>
        <w:t xml:space="preserve"> </w:t>
      </w:r>
    </w:p>
    <w:p w14:paraId="3783CEA6" w14:textId="77777777" w:rsidR="00D3168D" w:rsidRDefault="00000000">
      <w:pPr>
        <w:ind w:left="-5" w:right="0"/>
      </w:pPr>
      <w:r>
        <w:t xml:space="preserve">Wnioski empiryczne </w:t>
      </w:r>
    </w:p>
    <w:p w14:paraId="569B8BA6" w14:textId="77777777" w:rsidR="00D3168D" w:rsidRDefault="00000000">
      <w:pPr>
        <w:spacing w:after="171"/>
        <w:ind w:left="-5" w:right="0"/>
      </w:pPr>
      <w:r>
        <w:t xml:space="preserve">Wskazania dla praktyki pedagogicznej </w:t>
      </w:r>
    </w:p>
    <w:p w14:paraId="284934E0" w14:textId="77777777" w:rsidR="00D3168D" w:rsidRDefault="00000000">
      <w:pPr>
        <w:ind w:left="-5" w:right="0"/>
      </w:pPr>
      <w:r>
        <w:t xml:space="preserve">Zakończenie </w:t>
      </w:r>
    </w:p>
    <w:p w14:paraId="1B7E397D" w14:textId="77777777" w:rsidR="00D3168D" w:rsidRDefault="00000000">
      <w:pPr>
        <w:ind w:left="-5" w:right="0"/>
      </w:pPr>
      <w:r>
        <w:t xml:space="preserve">Bibliografia </w:t>
      </w:r>
    </w:p>
    <w:p w14:paraId="54702828" w14:textId="77777777" w:rsidR="00D3168D" w:rsidRDefault="00000000">
      <w:pPr>
        <w:ind w:left="-5" w:right="0"/>
      </w:pPr>
      <w:r>
        <w:t xml:space="preserve">Aneks </w:t>
      </w:r>
    </w:p>
    <w:p w14:paraId="6DC165C3" w14:textId="77777777" w:rsidR="00D3168D" w:rsidRDefault="00000000">
      <w:pPr>
        <w:spacing w:after="172"/>
        <w:ind w:left="-5" w:right="0"/>
      </w:pPr>
      <w:r>
        <w:t xml:space="preserve">Spis tabel i wykresów </w:t>
      </w:r>
    </w:p>
    <w:p w14:paraId="2F69E4E0" w14:textId="77777777" w:rsidR="00D3168D" w:rsidRDefault="00000000">
      <w:pPr>
        <w:spacing w:after="2" w:line="356" w:lineRule="auto"/>
        <w:ind w:left="-5" w:right="6023"/>
      </w:pPr>
      <w:r>
        <w:t xml:space="preserve">Wzór narzędzi badawczych ew. inne  </w:t>
      </w:r>
    </w:p>
    <w:p w14:paraId="0C7E22BF" w14:textId="77777777" w:rsidR="00D3168D" w:rsidRDefault="00000000">
      <w:pPr>
        <w:spacing w:after="132" w:line="259" w:lineRule="auto"/>
        <w:ind w:left="0" w:right="0" w:firstLine="0"/>
        <w:jc w:val="left"/>
      </w:pPr>
      <w:r>
        <w:t xml:space="preserve"> </w:t>
      </w:r>
    </w:p>
    <w:p w14:paraId="5E07A3CB" w14:textId="2F2C4DF1" w:rsidR="00D3168D" w:rsidRDefault="00000000">
      <w:pPr>
        <w:spacing w:after="0" w:line="399" w:lineRule="auto"/>
        <w:ind w:left="-5" w:right="0"/>
      </w:pPr>
      <w:r>
        <w:t xml:space="preserve">Bibliografia </w:t>
      </w:r>
      <w:r w:rsidR="00E71CEC">
        <w:t>powinna zawierać aktualn</w:t>
      </w:r>
      <w:r w:rsidR="002F6192">
        <w:t>ą, dla podjętego w pracy tematu, literaturę.</w:t>
      </w:r>
      <w:r>
        <w:t xml:space="preserve"> Pozycje netografii </w:t>
      </w:r>
      <w:r w:rsidR="00E71CEC">
        <w:t xml:space="preserve">powinny być zapisane </w:t>
      </w:r>
      <w:r>
        <w:t>oddzielnie</w:t>
      </w:r>
      <w:r w:rsidR="00E71CEC">
        <w:t xml:space="preserve">. </w:t>
      </w:r>
    </w:p>
    <w:p w14:paraId="66239B9A" w14:textId="77777777" w:rsidR="00D3168D" w:rsidRDefault="00000000">
      <w:pPr>
        <w:spacing w:after="170" w:line="259" w:lineRule="auto"/>
        <w:ind w:left="0" w:right="0" w:firstLine="0"/>
        <w:jc w:val="left"/>
      </w:pPr>
      <w:r>
        <w:t xml:space="preserve"> </w:t>
      </w:r>
    </w:p>
    <w:p w14:paraId="7F15629F" w14:textId="77777777" w:rsidR="00D3168D" w:rsidRDefault="00000000">
      <w:pPr>
        <w:spacing w:after="152" w:line="259" w:lineRule="auto"/>
        <w:ind w:left="0" w:right="5" w:firstLine="0"/>
        <w:jc w:val="center"/>
      </w:pPr>
      <w:r>
        <w:rPr>
          <w:b/>
          <w:u w:val="single" w:color="000000"/>
        </w:rPr>
        <w:t>Obowiązujące zapisy bibliograficzne:</w:t>
      </w:r>
      <w:r>
        <w:rPr>
          <w:b/>
        </w:rPr>
        <w:t xml:space="preserve"> </w:t>
      </w:r>
    </w:p>
    <w:p w14:paraId="72755B61" w14:textId="77777777" w:rsidR="00D3168D" w:rsidRDefault="00000000">
      <w:pPr>
        <w:spacing w:after="178" w:line="268" w:lineRule="auto"/>
        <w:ind w:left="-5" w:right="0"/>
        <w:jc w:val="left"/>
      </w:pPr>
      <w:r>
        <w:rPr>
          <w:b/>
        </w:rPr>
        <w:t xml:space="preserve">Przypisy dolne, numerowane automatycznie w całej pracy: </w:t>
      </w:r>
    </w:p>
    <w:p w14:paraId="1B3F8E8D" w14:textId="77777777" w:rsidR="00D3168D" w:rsidRDefault="00000000">
      <w:pPr>
        <w:spacing w:after="171" w:line="259" w:lineRule="auto"/>
        <w:ind w:left="0" w:right="0" w:firstLine="0"/>
        <w:jc w:val="left"/>
      </w:pPr>
      <w:r>
        <w:rPr>
          <w:b/>
          <w:sz w:val="22"/>
        </w:rPr>
        <w:lastRenderedPageBreak/>
        <w:t>Publikacje książkowe:</w:t>
      </w:r>
      <w:r>
        <w:rPr>
          <w:sz w:val="22"/>
        </w:rPr>
        <w:t xml:space="preserve"> </w:t>
      </w:r>
    </w:p>
    <w:p w14:paraId="704C89DE" w14:textId="77777777" w:rsidR="00D3168D" w:rsidRDefault="00000000">
      <w:pPr>
        <w:spacing w:after="223"/>
        <w:ind w:left="-5" w:right="0"/>
      </w:pPr>
      <w:r>
        <w:t xml:space="preserve">J. Barlińska, A. Szuster, </w:t>
      </w:r>
      <w:r>
        <w:rPr>
          <w:i/>
        </w:rPr>
        <w:t xml:space="preserve">Cyberprzemoc. O zagrożeniach i szansach na ograniczenie zjawiska wśród adolescentów, </w:t>
      </w:r>
      <w:r>
        <w:t xml:space="preserve">Wydawnictwo Uniwersytetu Warszawskiego, Warszawa 2015, s. 18.  </w:t>
      </w:r>
    </w:p>
    <w:p w14:paraId="4351F0E6" w14:textId="77777777" w:rsidR="00D3168D" w:rsidRDefault="00000000">
      <w:pPr>
        <w:spacing w:after="178" w:line="268" w:lineRule="auto"/>
        <w:ind w:left="-5" w:right="0"/>
        <w:jc w:val="left"/>
      </w:pPr>
      <w:r>
        <w:rPr>
          <w:b/>
        </w:rPr>
        <w:t>Rozdziały/artykuły w pracach pod redakcją:</w:t>
      </w:r>
      <w:r>
        <w:t xml:space="preserve"> </w:t>
      </w:r>
    </w:p>
    <w:p w14:paraId="39938D15" w14:textId="77777777" w:rsidR="00D3168D" w:rsidRDefault="00000000">
      <w:pPr>
        <w:spacing w:after="0" w:line="275" w:lineRule="auto"/>
        <w:ind w:left="0" w:right="0" w:firstLine="0"/>
        <w:jc w:val="left"/>
      </w:pPr>
      <w:r>
        <w:t xml:space="preserve">M. Szpunar, </w:t>
      </w:r>
      <w:r>
        <w:rPr>
          <w:i/>
        </w:rPr>
        <w:t xml:space="preserve">Cyberbullying – nowe technologie jako narzędzia stosowania przemocy psychicznej, </w:t>
      </w:r>
      <w:r>
        <w:t xml:space="preserve">w: J. Mucha (red.), </w:t>
      </w:r>
      <w:r>
        <w:rPr>
          <w:i/>
        </w:rPr>
        <w:t>Nie tylko Internet. Nowe media, przyroda i technologie społeczne a praktyki kulturowe</w:t>
      </w:r>
      <w:r>
        <w:t xml:space="preserve">, Zakład Wydawniczy NOMOS, Kraków 2010, s. 76. </w:t>
      </w:r>
    </w:p>
    <w:p w14:paraId="6C983D30" w14:textId="77777777" w:rsidR="00D3168D" w:rsidRDefault="00000000">
      <w:pPr>
        <w:spacing w:after="147" w:line="268" w:lineRule="auto"/>
        <w:ind w:left="-5" w:right="0"/>
        <w:jc w:val="left"/>
      </w:pPr>
      <w:r>
        <w:rPr>
          <w:b/>
        </w:rPr>
        <w:t>Artykuły w czasopismach:</w:t>
      </w:r>
      <w:r>
        <w:t xml:space="preserve"> </w:t>
      </w:r>
    </w:p>
    <w:p w14:paraId="27703D1F" w14:textId="77777777" w:rsidR="00D3168D" w:rsidRDefault="00000000">
      <w:pPr>
        <w:spacing w:after="168"/>
        <w:ind w:left="-5" w:right="0"/>
      </w:pPr>
      <w:r>
        <w:t xml:space="preserve">A. Borkowska., D. Macander, </w:t>
      </w:r>
      <w:r>
        <w:rPr>
          <w:i/>
        </w:rPr>
        <w:t xml:space="preserve">System reagowania w szkole na ujawnienie cyberprzemocy, </w:t>
      </w:r>
      <w:r>
        <w:t xml:space="preserve">„Dziecko Krzywdzone” 2009, nr 1(26), s. 25. </w:t>
      </w:r>
    </w:p>
    <w:p w14:paraId="17E58A48" w14:textId="77777777" w:rsidR="00D3168D" w:rsidRDefault="00000000">
      <w:pPr>
        <w:spacing w:after="194" w:line="268" w:lineRule="auto"/>
        <w:ind w:left="-5" w:right="0"/>
        <w:jc w:val="left"/>
      </w:pPr>
      <w:r>
        <w:rPr>
          <w:b/>
        </w:rPr>
        <w:t>Publikacje internetowe:</w:t>
      </w:r>
      <w:r>
        <w:t xml:space="preserve"> </w:t>
      </w:r>
    </w:p>
    <w:p w14:paraId="5BF6B296" w14:textId="77777777" w:rsidR="00D3168D" w:rsidRDefault="00000000">
      <w:pPr>
        <w:spacing w:after="18" w:line="262" w:lineRule="auto"/>
        <w:ind w:left="-5" w:right="0"/>
      </w:pPr>
      <w:r>
        <w:t xml:space="preserve">J. Barlińska., </w:t>
      </w:r>
      <w:r>
        <w:rPr>
          <w:i/>
        </w:rPr>
        <w:t>Młodzież w sieci – podłoże zachowań agresywnych i antyspołecznych</w:t>
      </w:r>
      <w:r>
        <w:t xml:space="preserve">, w: Ł. </w:t>
      </w:r>
    </w:p>
    <w:p w14:paraId="222E1ACE" w14:textId="0A497C78" w:rsidR="00D3168D" w:rsidRDefault="00000000">
      <w:pPr>
        <w:spacing w:after="497"/>
        <w:ind w:left="-5" w:right="852"/>
      </w:pPr>
      <w:r>
        <w:t xml:space="preserve">Wojtasik (red.), </w:t>
      </w:r>
      <w:r>
        <w:rPr>
          <w:i/>
        </w:rPr>
        <w:t>Jak reagować na cyberprzemoc. Poradnik dla szkół</w:t>
      </w:r>
      <w:r>
        <w:t>, Fundacja Dzieci Niczyje,  http://www.kuratorium.lodz.pl/data/other/poradnikjak_reagowac_na_cyberprzemoc.pdf, [dostęp: 22.02.20</w:t>
      </w:r>
      <w:r w:rsidR="002F6192">
        <w:t>22</w:t>
      </w:r>
      <w:r>
        <w:t xml:space="preserve">]. </w:t>
      </w:r>
    </w:p>
    <w:p w14:paraId="5DC72368" w14:textId="77777777" w:rsidR="00D3168D" w:rsidRDefault="00000000">
      <w:pPr>
        <w:spacing w:after="303" w:line="268" w:lineRule="auto"/>
        <w:ind w:left="-5" w:right="0"/>
        <w:jc w:val="left"/>
      </w:pPr>
      <w:r>
        <w:rPr>
          <w:b/>
        </w:rPr>
        <w:t xml:space="preserve">Dla publikacji cytowanej w ostatnim przypisie stosujemy zapis: </w:t>
      </w:r>
      <w:r>
        <w:t xml:space="preserve">Tamże, s. .. </w:t>
      </w:r>
    </w:p>
    <w:p w14:paraId="3BA62D11" w14:textId="4038BEE4" w:rsidR="00D3168D" w:rsidRDefault="00000000">
      <w:pPr>
        <w:spacing w:after="0" w:line="355" w:lineRule="auto"/>
        <w:ind w:left="-5" w:right="1064"/>
        <w:jc w:val="left"/>
      </w:pPr>
      <w:r>
        <w:rPr>
          <w:b/>
        </w:rPr>
        <w:t xml:space="preserve">Dla publikacji, która już wcześniej w pracy była cytowana stosujemy zapis: </w:t>
      </w:r>
      <w:r w:rsidR="002F6192">
        <w:rPr>
          <w:b/>
        </w:rPr>
        <w:t xml:space="preserve"> </w:t>
      </w:r>
      <w:r>
        <w:t xml:space="preserve">A. Borkowska., D. Macander, </w:t>
      </w:r>
      <w:r>
        <w:rPr>
          <w:i/>
        </w:rPr>
        <w:t xml:space="preserve">System reagowania... dz. cyt., </w:t>
      </w:r>
      <w:r>
        <w:t xml:space="preserve">s. 27 </w:t>
      </w:r>
    </w:p>
    <w:p w14:paraId="711BA84F" w14:textId="77777777" w:rsidR="00D3168D" w:rsidRDefault="00000000">
      <w:pPr>
        <w:spacing w:after="177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4D14D54F" w14:textId="77777777" w:rsidR="00D3168D" w:rsidRDefault="00000000">
      <w:pPr>
        <w:spacing w:after="144" w:line="268" w:lineRule="auto"/>
        <w:ind w:left="-5" w:right="0"/>
        <w:jc w:val="left"/>
      </w:pPr>
      <w:r>
        <w:rPr>
          <w:b/>
        </w:rPr>
        <w:t xml:space="preserve">Jeśli przypis nie dotyczy dosłownego cytowania słów autora, tylko jest ich skrótem, przeformułowaniem, nawiązaniem do myśli czy wyników badań, przed przypisem pisze się: Zob., np. </w:t>
      </w:r>
    </w:p>
    <w:p w14:paraId="33482638" w14:textId="77777777" w:rsidR="00D3168D" w:rsidRDefault="00000000">
      <w:pPr>
        <w:spacing w:after="147" w:line="260" w:lineRule="auto"/>
        <w:ind w:left="-5" w:right="0"/>
        <w:jc w:val="left"/>
      </w:pPr>
      <w:r>
        <w:t xml:space="preserve">Zob.  J. Barlińska, A. Szuster, </w:t>
      </w:r>
      <w:r>
        <w:rPr>
          <w:i/>
        </w:rPr>
        <w:t xml:space="preserve">Cyberprzemoc. O zagrożeniach i szansach na ograniczenie zjawiska wśród adolescentów, </w:t>
      </w:r>
      <w:r>
        <w:t xml:space="preserve">Wydawnictwo Uniwersytetu Warszawskiego, Warszawa 2015, s. 18.  </w:t>
      </w:r>
    </w:p>
    <w:p w14:paraId="71EF091C" w14:textId="77777777" w:rsidR="00D3168D" w:rsidRDefault="00000000">
      <w:pPr>
        <w:spacing w:after="158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7A3D5E0C" w14:textId="77777777" w:rsidR="00D3168D" w:rsidRDefault="00000000">
      <w:pPr>
        <w:spacing w:after="161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1F4DDB56" w14:textId="77777777" w:rsidR="00D3168D" w:rsidRDefault="00000000">
      <w:pPr>
        <w:spacing w:after="494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-------------------------------------------------------------------------------------------------------------------- </w:t>
      </w:r>
    </w:p>
    <w:p w14:paraId="08E43827" w14:textId="77777777" w:rsidR="00D3168D" w:rsidRDefault="00000000">
      <w:pPr>
        <w:spacing w:after="238" w:line="268" w:lineRule="auto"/>
        <w:ind w:left="-5" w:right="0"/>
        <w:jc w:val="left"/>
      </w:pPr>
      <w:r>
        <w:rPr>
          <w:b/>
        </w:rPr>
        <w:t xml:space="preserve">Bibliografia na końcu pracy ułożona alfabetycznie (ponumerowana) od nazwiska autora z podziałem na następujące kategorie: </w:t>
      </w:r>
    </w:p>
    <w:p w14:paraId="364AF5B4" w14:textId="77777777" w:rsidR="00D3168D" w:rsidRDefault="00000000">
      <w:pPr>
        <w:spacing w:after="136" w:line="268" w:lineRule="auto"/>
        <w:ind w:left="-5" w:right="0"/>
        <w:jc w:val="left"/>
      </w:pPr>
      <w:r>
        <w:rPr>
          <w:b/>
        </w:rPr>
        <w:t xml:space="preserve">Wydawnictwo zwarte:  </w:t>
      </w:r>
    </w:p>
    <w:p w14:paraId="74C0C371" w14:textId="77777777" w:rsidR="00D3168D" w:rsidRDefault="00000000">
      <w:pPr>
        <w:spacing w:after="29"/>
        <w:ind w:left="-5" w:right="0"/>
      </w:pPr>
      <w:r>
        <w:t xml:space="preserve">Apanowicz J., </w:t>
      </w:r>
      <w:r>
        <w:rPr>
          <w:i/>
        </w:rPr>
        <w:t xml:space="preserve">Metodologia ogólna, </w:t>
      </w:r>
      <w:r>
        <w:t xml:space="preserve">Wydawnictwo Diecezji Pelplińskiej „BERNARDINUM", Gdynia 2002. </w:t>
      </w:r>
    </w:p>
    <w:p w14:paraId="2216CA14" w14:textId="77777777" w:rsidR="00D3168D" w:rsidRDefault="00000000">
      <w:pPr>
        <w:spacing w:after="34"/>
        <w:ind w:left="-5" w:right="0"/>
      </w:pPr>
      <w:r>
        <w:lastRenderedPageBreak/>
        <w:t xml:space="preserve">Banasiak M., </w:t>
      </w:r>
      <w:r>
        <w:rPr>
          <w:i/>
        </w:rPr>
        <w:t xml:space="preserve">Współpraca rodziców ze szkołą w kontekście reformy edukacji w Polsce, </w:t>
      </w:r>
      <w:r>
        <w:t xml:space="preserve">Wydawnictwo Naukowe Uniwersytetu Mikołaja Kopernika, Toruń 2013.  </w:t>
      </w:r>
      <w:r>
        <w:rPr>
          <w:b/>
        </w:rPr>
        <w:t xml:space="preserve">Artykuł w wydawnictwie zwartym:  </w:t>
      </w:r>
    </w:p>
    <w:p w14:paraId="5F5316D6" w14:textId="77777777" w:rsidR="00D3168D" w:rsidRDefault="00000000">
      <w:pPr>
        <w:spacing w:after="29"/>
        <w:ind w:left="-5" w:right="0"/>
      </w:pPr>
      <w:r>
        <w:t xml:space="preserve">Bębenek B., Maunduk B., </w:t>
      </w:r>
      <w:r>
        <w:rPr>
          <w:i/>
        </w:rPr>
        <w:t xml:space="preserve">Formy współpracy nauczycieli i rodziców, </w:t>
      </w:r>
      <w:r>
        <w:t>w: I. Nowosad (red.), n</w:t>
      </w:r>
      <w:r>
        <w:rPr>
          <w:i/>
        </w:rPr>
        <w:t xml:space="preserve">auczyciele i rodzice. Współpraca w wychowaniu, </w:t>
      </w:r>
      <w:r>
        <w:t xml:space="preserve">Wydawnictwo Szkoły Nauk Humanistycznych i Społecznych Uniwersytetu Zielonogórskiego, Zielona Góra 2001. </w:t>
      </w:r>
    </w:p>
    <w:p w14:paraId="11A00B14" w14:textId="77777777" w:rsidR="00D3168D" w:rsidRDefault="00000000">
      <w:pPr>
        <w:spacing w:after="18" w:line="262" w:lineRule="auto"/>
        <w:ind w:left="-5" w:right="0"/>
      </w:pPr>
      <w:r>
        <w:t xml:space="preserve">Buchnat M., </w:t>
      </w:r>
      <w:r>
        <w:rPr>
          <w:i/>
        </w:rPr>
        <w:t xml:space="preserve">Uczeń z lekką niepełnosprawnością intelektualną w szkolnictwie integracyjnym i ogólnodostępnym, </w:t>
      </w:r>
      <w:r>
        <w:t xml:space="preserve">w: M. Buchnat, B. Tylewska-Nowak (red.), </w:t>
      </w:r>
      <w:r>
        <w:rPr>
          <w:i/>
        </w:rPr>
        <w:t xml:space="preserve">Dzieci i młodzież z niepełnosprawnością intelektualną w systemie edukacji, </w:t>
      </w:r>
      <w:r>
        <w:t>Difin, Warszawa 2012.</w:t>
      </w:r>
      <w:r>
        <w:rPr>
          <w:i/>
        </w:rPr>
        <w:t xml:space="preserve"> </w:t>
      </w:r>
      <w:r>
        <w:rPr>
          <w:b/>
        </w:rPr>
        <w:t xml:space="preserve">Artykuł w wydawnictwie ciągłym: (czasopiśmie) </w:t>
      </w:r>
    </w:p>
    <w:p w14:paraId="43D5B0FE" w14:textId="77777777" w:rsidR="00D3168D" w:rsidRDefault="00000000">
      <w:pPr>
        <w:ind w:left="-5" w:right="0"/>
      </w:pPr>
      <w:r>
        <w:t xml:space="preserve">Bryś B., </w:t>
      </w:r>
      <w:r>
        <w:rPr>
          <w:i/>
        </w:rPr>
        <w:t xml:space="preserve">Rodzice w szkole sukces czy porażka, </w:t>
      </w:r>
      <w:r>
        <w:t xml:space="preserve">„Dyrektor Szkoły” 2008, nr 7. </w:t>
      </w:r>
    </w:p>
    <w:p w14:paraId="77F3D8FC" w14:textId="77777777" w:rsidR="00D3168D" w:rsidRDefault="00000000">
      <w:pPr>
        <w:spacing w:after="18" w:line="262" w:lineRule="auto"/>
        <w:ind w:left="-5" w:right="0"/>
      </w:pPr>
      <w:r>
        <w:t xml:space="preserve">Gałkowski T., </w:t>
      </w:r>
      <w:r>
        <w:rPr>
          <w:i/>
        </w:rPr>
        <w:t xml:space="preserve">Nowe podejścia do niepełnosprawności. Uporządkowania terminologiczne, </w:t>
      </w:r>
    </w:p>
    <w:p w14:paraId="6FF05ADB" w14:textId="77777777" w:rsidR="00FF1FBC" w:rsidRDefault="00000000">
      <w:pPr>
        <w:spacing w:after="13"/>
        <w:ind w:left="-5" w:right="5368"/>
      </w:pPr>
      <w:r>
        <w:t>„Audiofonologia” 1997, Tom X.</w:t>
      </w:r>
    </w:p>
    <w:p w14:paraId="60D83E25" w14:textId="72DA88EE" w:rsidR="00D3168D" w:rsidRDefault="00000000">
      <w:pPr>
        <w:spacing w:after="13"/>
        <w:ind w:left="-5" w:right="5368"/>
      </w:pPr>
      <w:r>
        <w:rPr>
          <w:b/>
        </w:rPr>
        <w:t xml:space="preserve">Akty prawne: </w:t>
      </w:r>
    </w:p>
    <w:p w14:paraId="62D5025B" w14:textId="77777777" w:rsidR="00D3168D" w:rsidRDefault="00000000">
      <w:pPr>
        <w:spacing w:after="18" w:line="262" w:lineRule="auto"/>
        <w:ind w:left="-5" w:right="0"/>
      </w:pPr>
      <w:r>
        <w:t xml:space="preserve">Ustawa z dnia 27 sierpnia 1997 r. </w:t>
      </w:r>
      <w:r>
        <w:rPr>
          <w:i/>
        </w:rPr>
        <w:t xml:space="preserve">o rehabilitacji zawodowej i społecznej oraz zatrudnianiu osób niepełnosprawnych, </w:t>
      </w:r>
      <w:r>
        <w:t xml:space="preserve">Dz. U. z 2011 nr 127, poz. 721 z późn. zm. </w:t>
      </w:r>
    </w:p>
    <w:p w14:paraId="20C852FF" w14:textId="77777777" w:rsidR="00D3168D" w:rsidRDefault="00000000">
      <w:pPr>
        <w:spacing w:after="18" w:line="262" w:lineRule="auto"/>
        <w:ind w:left="-5" w:right="0"/>
      </w:pPr>
      <w:r>
        <w:t xml:space="preserve">Rozporządzenie Ministra Edukacji Narodowej z dnia 9 sierpnia 2017 r. </w:t>
      </w:r>
      <w:r>
        <w:rPr>
          <w:i/>
        </w:rPr>
        <w:t>w sprawie warunków organizowania kształcenia, wychowania i opieki dla dzieci i młodzieży niepełnosprawnych, niedostosowanych społecznie i zagrożonych niedostosowaniem społecznym</w:t>
      </w:r>
      <w:r>
        <w:t xml:space="preserve">, Dz. U. z 2017 r. </w:t>
      </w:r>
    </w:p>
    <w:p w14:paraId="4024D6BB" w14:textId="77777777" w:rsidR="00D3168D" w:rsidRDefault="00000000">
      <w:pPr>
        <w:spacing w:after="10"/>
        <w:ind w:left="-5" w:right="0"/>
      </w:pPr>
      <w:r>
        <w:t xml:space="preserve">poz. 1578. </w:t>
      </w:r>
    </w:p>
    <w:p w14:paraId="604E9275" w14:textId="77777777" w:rsidR="00D3168D" w:rsidRDefault="00000000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41557A21" w14:textId="77777777" w:rsidR="00D3168D" w:rsidRDefault="00000000">
      <w:pPr>
        <w:spacing w:after="0" w:line="268" w:lineRule="auto"/>
        <w:ind w:left="-5" w:right="0"/>
        <w:jc w:val="left"/>
      </w:pPr>
      <w:r>
        <w:rPr>
          <w:b/>
        </w:rPr>
        <w:t xml:space="preserve">Dokumenty elektroniczne (netografia): </w:t>
      </w:r>
    </w:p>
    <w:p w14:paraId="073B25D9" w14:textId="77777777" w:rsidR="00D3168D" w:rsidRDefault="00000000">
      <w:pPr>
        <w:spacing w:after="8" w:line="260" w:lineRule="auto"/>
        <w:ind w:left="-5" w:right="0"/>
        <w:jc w:val="left"/>
      </w:pPr>
      <w:r>
        <w:t xml:space="preserve">Bochno E., Lewandowska B., </w:t>
      </w:r>
      <w:r>
        <w:rPr>
          <w:i/>
        </w:rPr>
        <w:t xml:space="preserve">Dobra współpraca z rodzicami uskrzydla, </w:t>
      </w:r>
      <w:r>
        <w:t>w: „Edukacja i Dialog” 2002, nr 10, http://edukacjaidialog.pl/archiwum/2002,100/padziernik,183/dobra_wspolpraca_z_rodzicami</w:t>
      </w:r>
    </w:p>
    <w:p w14:paraId="0327B1DB" w14:textId="77777777" w:rsidR="00D3168D" w:rsidRDefault="00000000">
      <w:pPr>
        <w:spacing w:after="21"/>
        <w:ind w:left="-5" w:right="0"/>
      </w:pPr>
      <w:r>
        <w:t>_uskrzydla,1354.html, [dostęp: 11.06.2019].</w:t>
      </w:r>
      <w:r>
        <w:rPr>
          <w:i/>
        </w:rPr>
        <w:t xml:space="preserve"> </w:t>
      </w:r>
    </w:p>
    <w:p w14:paraId="24DEBEA1" w14:textId="77777777" w:rsidR="00D3168D" w:rsidRDefault="00000000">
      <w:pPr>
        <w:spacing w:after="0"/>
        <w:ind w:left="-5" w:right="0"/>
      </w:pPr>
      <w:r>
        <w:rPr>
          <w:i/>
        </w:rPr>
        <w:t>Deklaracja Madrycka</w:t>
      </w:r>
      <w:r>
        <w:t xml:space="preserve">, Europejski Kongres na rzecz Osób Niepełnosprawnych Madryt, 20-24 marca 2002, http://www.niepelnosprawni.pl/ledge/x/1878, [dostęp: 2.01.2019]. </w:t>
      </w:r>
    </w:p>
    <w:p w14:paraId="1043F671" w14:textId="77777777" w:rsidR="00D3168D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sectPr w:rsidR="00D3168D">
      <w:pgSz w:w="11906" w:h="16838"/>
      <w:pgMar w:top="1425" w:right="1416" w:bottom="1444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68D"/>
    <w:rsid w:val="002472C5"/>
    <w:rsid w:val="002F6192"/>
    <w:rsid w:val="003C74D0"/>
    <w:rsid w:val="00760233"/>
    <w:rsid w:val="00D079C1"/>
    <w:rsid w:val="00D3168D"/>
    <w:rsid w:val="00E71CEC"/>
    <w:rsid w:val="00FF1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F80D1"/>
  <w15:docId w15:val="{67846A0D-8045-4826-AB07-88A49D66A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24" w:line="249" w:lineRule="auto"/>
      <w:ind w:left="10" w:righ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15" w:line="259" w:lineRule="auto"/>
      <w:ind w:right="4"/>
      <w:jc w:val="center"/>
      <w:outlineLvl w:val="0"/>
    </w:pPr>
    <w:rPr>
      <w:rFonts w:ascii="Times New Roman" w:eastAsia="Times New Roman" w:hAnsi="Times New Roman" w:cs="Times New Roman"/>
      <w:color w:val="000000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24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900</Words>
  <Characters>5405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Komorowska</dc:creator>
  <cp:keywords/>
  <cp:lastModifiedBy>Beata Komorowska</cp:lastModifiedBy>
  <cp:revision>3</cp:revision>
  <dcterms:created xsi:type="dcterms:W3CDTF">2025-05-04T19:45:00Z</dcterms:created>
  <dcterms:modified xsi:type="dcterms:W3CDTF">2025-05-04T19:53:00Z</dcterms:modified>
</cp:coreProperties>
</file>